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E1E" w:rsidRDefault="00B9521A">
      <w:pPr>
        <w:pStyle w:val="CRCoverPage"/>
        <w:tabs>
          <w:tab w:val="right" w:pos="9639"/>
          <w:tab w:val="right" w:pos="13323"/>
        </w:tabs>
        <w:spacing w:after="0"/>
        <w:rPr>
          <w:rFonts w:cs="Arial"/>
          <w:b/>
          <w:sz w:val="24"/>
          <w:szCs w:val="24"/>
        </w:rPr>
      </w:pPr>
      <w:r>
        <w:rPr>
          <w:rFonts w:cs="Arial"/>
          <w:b/>
          <w:bCs/>
          <w:sz w:val="24"/>
          <w:szCs w:val="24"/>
        </w:rPr>
        <w:t>3GPP TSG-RAN WG3 Meeting #119</w:t>
      </w:r>
      <w:r>
        <w:rPr>
          <w:rFonts w:cs="Arial"/>
          <w:b/>
          <w:sz w:val="24"/>
          <w:szCs w:val="24"/>
        </w:rPr>
        <w:tab/>
      </w:r>
      <w:r>
        <w:rPr>
          <w:rFonts w:hint="eastAsia"/>
          <w:b/>
          <w:i/>
          <w:sz w:val="28"/>
        </w:rPr>
        <w:t>R3-230698</w:t>
      </w:r>
    </w:p>
    <w:p w:rsidR="00941E1E" w:rsidRDefault="00B9521A">
      <w:pPr>
        <w:pStyle w:val="CRCoverPage"/>
        <w:tabs>
          <w:tab w:val="right" w:pos="9639"/>
          <w:tab w:val="right" w:pos="13323"/>
        </w:tabs>
        <w:spacing w:after="0"/>
        <w:rPr>
          <w:rFonts w:cs="Arial"/>
          <w:b/>
          <w:sz w:val="24"/>
          <w:szCs w:val="24"/>
        </w:rPr>
      </w:pPr>
      <w:r>
        <w:rPr>
          <w:b/>
          <w:sz w:val="24"/>
        </w:rPr>
        <w:t>Athens, GR, 27 Feb – 03 Mar, 2023</w:t>
      </w:r>
    </w:p>
    <w:p w:rsidR="00941E1E" w:rsidRDefault="00941E1E">
      <w:pPr>
        <w:pStyle w:val="ab"/>
        <w:jc w:val="both"/>
        <w:rPr>
          <w:rFonts w:eastAsia="宋体"/>
          <w:b w:val="0"/>
          <w:i w:val="0"/>
          <w:sz w:val="24"/>
        </w:rPr>
      </w:pPr>
    </w:p>
    <w:p w:rsidR="00941E1E" w:rsidRDefault="00B9521A">
      <w:pPr>
        <w:tabs>
          <w:tab w:val="left" w:pos="1985"/>
        </w:tabs>
        <w:ind w:left="1980" w:hanging="1980"/>
        <w:rPr>
          <w:rStyle w:val="af9"/>
        </w:rPr>
      </w:pPr>
      <w:r>
        <w:rPr>
          <w:b/>
          <w:sz w:val="24"/>
        </w:rPr>
        <w:t>Title:</w:t>
      </w:r>
      <w:r>
        <w:rPr>
          <w:sz w:val="24"/>
        </w:rPr>
        <w:t xml:space="preserve"> </w:t>
      </w:r>
      <w:r>
        <w:rPr>
          <w:sz w:val="24"/>
        </w:rPr>
        <w:tab/>
      </w:r>
      <w:r>
        <w:rPr>
          <w:rFonts w:hint="eastAsia"/>
          <w:sz w:val="24"/>
        </w:rPr>
        <w:t xml:space="preserve">Discussion on QoE measurement </w:t>
      </w:r>
      <w:r>
        <w:rPr>
          <w:sz w:val="24"/>
        </w:rPr>
        <w:t>for high mobility scenarios</w:t>
      </w:r>
    </w:p>
    <w:p w:rsidR="00941E1E" w:rsidRDefault="00B9521A">
      <w:pPr>
        <w:tabs>
          <w:tab w:val="left" w:pos="1985"/>
        </w:tabs>
        <w:rPr>
          <w:rStyle w:val="af9"/>
        </w:rPr>
      </w:pPr>
      <w:r>
        <w:rPr>
          <w:b/>
          <w:sz w:val="24"/>
        </w:rPr>
        <w:t xml:space="preserve">Source: </w:t>
      </w:r>
      <w:r>
        <w:rPr>
          <w:b/>
          <w:sz w:val="24"/>
        </w:rPr>
        <w:tab/>
      </w:r>
      <w:r>
        <w:rPr>
          <w:rFonts w:hint="eastAsia"/>
          <w:bCs/>
          <w:sz w:val="24"/>
        </w:rPr>
        <w:t>China Unicom</w:t>
      </w:r>
    </w:p>
    <w:p w:rsidR="00941E1E" w:rsidRDefault="00B9521A">
      <w:pPr>
        <w:tabs>
          <w:tab w:val="left" w:pos="1985"/>
        </w:tabs>
        <w:rPr>
          <w:rStyle w:val="af9"/>
        </w:rPr>
      </w:pPr>
      <w:r>
        <w:rPr>
          <w:b/>
          <w:sz w:val="24"/>
        </w:rPr>
        <w:t>Agenda item:</w:t>
      </w:r>
      <w:r>
        <w:rPr>
          <w:sz w:val="24"/>
        </w:rPr>
        <w:tab/>
      </w:r>
      <w:r>
        <w:rPr>
          <w:rFonts w:hint="eastAsia"/>
          <w:sz w:val="24"/>
          <w:lang w:val="en-US"/>
        </w:rPr>
        <w:t>11</w:t>
      </w:r>
      <w:r>
        <w:rPr>
          <w:sz w:val="24"/>
        </w:rPr>
        <w:t>.2</w:t>
      </w:r>
    </w:p>
    <w:p w:rsidR="00941E1E" w:rsidRDefault="00B9521A">
      <w:pPr>
        <w:tabs>
          <w:tab w:val="left" w:pos="1985"/>
        </w:tabs>
        <w:ind w:left="1980" w:hanging="1980"/>
        <w:rPr>
          <w:rStyle w:val="af9"/>
        </w:rPr>
      </w:pPr>
      <w:r>
        <w:rPr>
          <w:b/>
          <w:sz w:val="24"/>
        </w:rPr>
        <w:t>Document Type:</w:t>
      </w:r>
      <w:r>
        <w:rPr>
          <w:sz w:val="24"/>
        </w:rPr>
        <w:tab/>
      </w:r>
      <w:r>
        <w:rPr>
          <w:rFonts w:hint="eastAsia"/>
          <w:sz w:val="24"/>
        </w:rPr>
        <w:t>D</w:t>
      </w:r>
      <w:r>
        <w:rPr>
          <w:sz w:val="24"/>
        </w:rPr>
        <w:t>iscussion</w:t>
      </w:r>
    </w:p>
    <w:p w:rsidR="00941E1E" w:rsidRDefault="00B9521A">
      <w:pPr>
        <w:pStyle w:val="1"/>
        <w:rPr>
          <w:rFonts w:ascii="Times New Roman" w:hAnsi="Times New Roman" w:cs="Times New Roman"/>
          <w:sz w:val="40"/>
        </w:rPr>
      </w:pPr>
      <w:r>
        <w:rPr>
          <w:rFonts w:ascii="Times New Roman" w:hAnsi="Times New Roman" w:cs="Times New Roman"/>
          <w:sz w:val="40"/>
        </w:rPr>
        <w:t>Introduction</w:t>
      </w:r>
    </w:p>
    <w:p w:rsidR="00941E1E" w:rsidRDefault="00B9521A">
      <w:pPr>
        <w:rPr>
          <w:rFonts w:ascii="Times New Roman" w:hAnsi="Times New Roman"/>
          <w:sz w:val="21"/>
          <w:szCs w:val="21"/>
        </w:rPr>
      </w:pPr>
      <w:r>
        <w:rPr>
          <w:rFonts w:ascii="Times New Roman" w:hAnsi="Times New Roman"/>
          <w:sz w:val="21"/>
          <w:szCs w:val="21"/>
        </w:rPr>
        <w:t xml:space="preserve">The Work Item on QoE reporting has </w:t>
      </w:r>
      <w:r>
        <w:rPr>
          <w:rFonts w:ascii="Times New Roman" w:hAnsi="Times New Roman"/>
          <w:sz w:val="21"/>
          <w:szCs w:val="21"/>
        </w:rPr>
        <w:t>been agreed in RAN#9</w:t>
      </w:r>
      <w:r>
        <w:rPr>
          <w:rFonts w:ascii="Times New Roman" w:eastAsia="宋体" w:hAnsi="Times New Roman" w:hint="eastAsia"/>
          <w:sz w:val="21"/>
          <w:szCs w:val="21"/>
          <w:lang w:val="en-US"/>
        </w:rPr>
        <w:t>6</w:t>
      </w:r>
      <w:r>
        <w:rPr>
          <w:rFonts w:ascii="Times New Roman" w:hAnsi="Times New Roman"/>
          <w:sz w:val="21"/>
          <w:szCs w:val="21"/>
        </w:rPr>
        <w:t xml:space="preserve"> (RP-2</w:t>
      </w:r>
      <w:r>
        <w:rPr>
          <w:rFonts w:ascii="Times New Roman" w:eastAsia="宋体" w:hAnsi="Times New Roman" w:hint="eastAsia"/>
          <w:sz w:val="21"/>
          <w:szCs w:val="21"/>
          <w:lang w:val="en-US"/>
        </w:rPr>
        <w:t>21803</w:t>
      </w:r>
      <w:r>
        <w:rPr>
          <w:rFonts w:ascii="Times New Roman" w:hAnsi="Times New Roman"/>
          <w:sz w:val="21"/>
          <w:szCs w:val="21"/>
        </w:rPr>
        <w:t>) with the following objectives:</w:t>
      </w:r>
    </w:p>
    <w:tbl>
      <w:tblPr>
        <w:tblStyle w:val="af3"/>
        <w:tblW w:w="0" w:type="auto"/>
        <w:tblLook w:val="04A0" w:firstRow="1" w:lastRow="0" w:firstColumn="1" w:lastColumn="0" w:noHBand="0" w:noVBand="1"/>
      </w:tblPr>
      <w:tblGrid>
        <w:gridCol w:w="9629"/>
      </w:tblGrid>
      <w:tr w:rsidR="00941E1E">
        <w:trPr>
          <w:trHeight w:val="769"/>
        </w:trPr>
        <w:tc>
          <w:tcPr>
            <w:tcW w:w="9631" w:type="dxa"/>
          </w:tcPr>
          <w:p w:rsidR="00941E1E" w:rsidRDefault="00B9521A">
            <w:pPr>
              <w:numPr>
                <w:ilvl w:val="0"/>
                <w:numId w:val="5"/>
              </w:numPr>
              <w:spacing w:beforeLines="50" w:before="120" w:after="0"/>
              <w:rPr>
                <w:rFonts w:ascii="Times New Roman" w:hAnsi="Times New Roman"/>
                <w:bCs/>
                <w:sz w:val="22"/>
                <w:szCs w:val="21"/>
              </w:rPr>
            </w:pPr>
            <w:r>
              <w:rPr>
                <w:rFonts w:ascii="Times New Roman" w:hAnsi="Times New Roman"/>
                <w:bCs/>
                <w:sz w:val="22"/>
                <w:szCs w:val="21"/>
              </w:rPr>
              <w:t>Specify the new service and the existing service defined or to be supported by SA4, combined with high mobility scenarios, e.g., High Speed Trains.</w:t>
            </w:r>
          </w:p>
        </w:tc>
      </w:tr>
    </w:tbl>
    <w:p w:rsidR="00941E1E" w:rsidRDefault="00941E1E">
      <w:pPr>
        <w:rPr>
          <w:rFonts w:ascii="Times New Roman" w:eastAsia="等线" w:hAnsi="Times New Roman"/>
          <w:sz w:val="21"/>
          <w:szCs w:val="21"/>
        </w:rPr>
      </w:pPr>
    </w:p>
    <w:p w:rsidR="00941E1E" w:rsidRDefault="00B9521A">
      <w:pPr>
        <w:rPr>
          <w:rFonts w:ascii="Times New Roman" w:eastAsia="宋体" w:hAnsi="Times New Roman"/>
          <w:sz w:val="21"/>
          <w:szCs w:val="21"/>
          <w:lang w:val="en-US"/>
        </w:rPr>
      </w:pPr>
      <w:r>
        <w:rPr>
          <w:rStyle w:val="IvDbodytextChar"/>
          <w:rFonts w:ascii="Times New Roman" w:hAnsi="Times New Roman"/>
          <w:sz w:val="21"/>
          <w:szCs w:val="21"/>
          <w:lang w:val="en-GB"/>
        </w:rPr>
        <w:t xml:space="preserve">This paper discusses to support </w:t>
      </w:r>
      <w:r>
        <w:rPr>
          <w:rStyle w:val="IvDbodytextChar"/>
          <w:rFonts w:ascii="Times New Roman" w:eastAsia="等线" w:hAnsi="Times New Roman"/>
          <w:sz w:val="21"/>
          <w:szCs w:val="21"/>
        </w:rPr>
        <w:t>the</w:t>
      </w:r>
      <w:r>
        <w:rPr>
          <w:rStyle w:val="IvDbodytextChar"/>
          <w:rFonts w:ascii="Times New Roman" w:eastAsia="等线" w:hAnsi="Times New Roman" w:hint="eastAsia"/>
          <w:sz w:val="21"/>
          <w:szCs w:val="21"/>
        </w:rPr>
        <w:t xml:space="preserve"> QoE measurement </w:t>
      </w:r>
      <w:r>
        <w:rPr>
          <w:rStyle w:val="IvDbodytextChar"/>
          <w:rFonts w:ascii="Times New Roman" w:eastAsia="等线" w:hAnsi="Times New Roman"/>
          <w:sz w:val="21"/>
          <w:szCs w:val="21"/>
        </w:rPr>
        <w:t xml:space="preserve">for </w:t>
      </w:r>
      <w:r>
        <w:rPr>
          <w:rFonts w:ascii="Times New Roman" w:hAnsi="Times New Roman"/>
          <w:bCs/>
          <w:sz w:val="22"/>
          <w:szCs w:val="21"/>
        </w:rPr>
        <w:t>high mobility scenarios</w:t>
      </w:r>
      <w:r>
        <w:rPr>
          <w:rStyle w:val="IvDbodytextChar"/>
          <w:rFonts w:ascii="Times New Roman" w:eastAsia="等线" w:hAnsi="Times New Roman"/>
          <w:sz w:val="21"/>
          <w:szCs w:val="21"/>
        </w:rPr>
        <w:t>.</w:t>
      </w:r>
    </w:p>
    <w:p w:rsidR="00941E1E" w:rsidRDefault="00941E1E">
      <w:pPr>
        <w:rPr>
          <w:rFonts w:ascii="Times New Roman" w:eastAsia="宋体" w:hAnsi="Times New Roman"/>
          <w:sz w:val="21"/>
          <w:szCs w:val="21"/>
          <w:lang w:val="en-US"/>
        </w:rPr>
      </w:pPr>
    </w:p>
    <w:p w:rsidR="00941E1E" w:rsidRDefault="00B9521A">
      <w:pPr>
        <w:pStyle w:val="1"/>
        <w:rPr>
          <w:rFonts w:ascii="Times New Roman" w:hAnsi="Times New Roman" w:cs="Times New Roman"/>
          <w:sz w:val="40"/>
        </w:rPr>
      </w:pPr>
      <w:r>
        <w:rPr>
          <w:rFonts w:ascii="Times New Roman" w:hAnsi="Times New Roman" w:cs="Times New Roman"/>
          <w:sz w:val="40"/>
        </w:rPr>
        <w:t>Discussion</w:t>
      </w:r>
    </w:p>
    <w:p w:rsidR="00941E1E" w:rsidRDefault="00B9521A">
      <w:pPr>
        <w:rPr>
          <w:rFonts w:ascii="Times New Roman" w:eastAsia="宋体" w:hAnsi="Times New Roman"/>
          <w:bCs/>
          <w:lang w:val="en-US"/>
        </w:rPr>
      </w:pPr>
      <w:r>
        <w:rPr>
          <w:rFonts w:ascii="Times New Roman" w:eastAsia="宋体" w:hAnsi="Times New Roman"/>
          <w:bCs/>
          <w:lang w:val="en-US"/>
        </w:rPr>
        <w:t>T</w:t>
      </w:r>
      <w:r>
        <w:rPr>
          <w:rFonts w:ascii="Times New Roman" w:eastAsia="宋体" w:hAnsi="Times New Roman" w:hint="eastAsia"/>
          <w:bCs/>
          <w:lang w:val="en-US"/>
        </w:rPr>
        <w:t>h</w:t>
      </w:r>
      <w:r>
        <w:rPr>
          <w:rFonts w:ascii="Times New Roman" w:eastAsia="宋体" w:hAnsi="Times New Roman"/>
          <w:bCs/>
          <w:lang w:val="en-US"/>
        </w:rPr>
        <w:t>e following was captured in the last meeting with respect to high speed scenarios:</w:t>
      </w:r>
    </w:p>
    <w:p w:rsidR="00941E1E" w:rsidRDefault="00B9521A">
      <w:pPr>
        <w:pStyle w:val="14"/>
        <w:rPr>
          <w:rStyle w:val="15"/>
          <w:rFonts w:asciiTheme="minorHAnsi" w:eastAsia="Times New Roman" w:hAnsiTheme="minorHAnsi" w:cstheme="minorHAnsi"/>
          <w:b/>
          <w:i/>
          <w:sz w:val="20"/>
          <w:szCs w:val="20"/>
          <w:u w:val="none"/>
          <w:lang w:val="en-GB"/>
        </w:rPr>
      </w:pPr>
      <w:r>
        <w:rPr>
          <w:rStyle w:val="15"/>
          <w:rFonts w:asciiTheme="minorHAnsi" w:eastAsia="Times New Roman" w:hAnsiTheme="minorHAnsi" w:cstheme="minorHAnsi"/>
          <w:b/>
          <w:i/>
          <w:sz w:val="20"/>
          <w:szCs w:val="20"/>
          <w:u w:val="none"/>
          <w:lang w:val="en-GB"/>
        </w:rPr>
        <w:t>-Whether a “HSDN wide indication” can be included in the Area Scope of QoE configuration (from OAM to gNB), inste</w:t>
      </w:r>
      <w:r>
        <w:rPr>
          <w:rStyle w:val="15"/>
          <w:rFonts w:asciiTheme="minorHAnsi" w:eastAsia="Times New Roman" w:hAnsiTheme="minorHAnsi" w:cstheme="minorHAnsi"/>
          <w:b/>
          <w:i/>
          <w:sz w:val="20"/>
          <w:szCs w:val="20"/>
          <w:u w:val="none"/>
          <w:lang w:val="en-GB"/>
        </w:rPr>
        <w:t xml:space="preserve">ad of OAM being required to provide the whole list of HSDN cells. </w:t>
      </w:r>
    </w:p>
    <w:p w:rsidR="00941E1E" w:rsidRDefault="00941E1E">
      <w:pPr>
        <w:pStyle w:val="14"/>
        <w:rPr>
          <w:rStyle w:val="15"/>
          <w:rFonts w:asciiTheme="minorHAnsi" w:eastAsia="Times New Roman" w:hAnsiTheme="minorHAnsi" w:cstheme="minorHAnsi"/>
          <w:b/>
          <w:i/>
          <w:sz w:val="20"/>
          <w:szCs w:val="20"/>
          <w:u w:val="none"/>
          <w:lang w:val="en-GB"/>
        </w:rPr>
      </w:pPr>
    </w:p>
    <w:p w:rsidR="00941E1E" w:rsidRDefault="00B9521A">
      <w:pPr>
        <w:pStyle w:val="14"/>
        <w:rPr>
          <w:rFonts w:asciiTheme="minorHAnsi" w:eastAsia="等线" w:hAnsiTheme="minorHAnsi" w:cstheme="minorHAnsi"/>
          <w:b/>
          <w:i/>
          <w:color w:val="0000FF"/>
          <w:sz w:val="20"/>
          <w:szCs w:val="20"/>
          <w:lang w:val="en-GB"/>
        </w:rPr>
      </w:pPr>
      <w:r>
        <w:rPr>
          <w:rStyle w:val="15"/>
          <w:rFonts w:asciiTheme="minorHAnsi" w:eastAsia="Times New Roman" w:hAnsiTheme="minorHAnsi" w:cstheme="minorHAnsi"/>
          <w:b/>
          <w:i/>
          <w:sz w:val="20"/>
          <w:szCs w:val="20"/>
          <w:u w:val="none"/>
          <w:lang w:val="en-GB"/>
        </w:rPr>
        <w:t xml:space="preserve">-Whether the ‘high UE velocity’ indication can be added into the QoE configuration. </w:t>
      </w:r>
    </w:p>
    <w:p w:rsidR="00941E1E" w:rsidRDefault="00941E1E">
      <w:pPr>
        <w:rPr>
          <w:rFonts w:ascii="Times New Roman" w:eastAsia="等线" w:hAnsi="Times New Roman"/>
          <w:color w:val="FF0000"/>
          <w:lang w:val="en-US"/>
        </w:rPr>
      </w:pPr>
    </w:p>
    <w:p w:rsidR="00941E1E" w:rsidRDefault="00B9521A">
      <w:pPr>
        <w:rPr>
          <w:rFonts w:ascii="Times New Roman" w:eastAsia="等线" w:hAnsi="Times New Roman"/>
          <w:lang w:val="en-US"/>
        </w:rPr>
      </w:pPr>
      <w:r>
        <w:rPr>
          <w:rFonts w:ascii="Times New Roman" w:eastAsia="等线" w:hAnsi="Times New Roman" w:hint="eastAsia"/>
          <w:lang w:val="en-US"/>
        </w:rPr>
        <w:t>I</w:t>
      </w:r>
      <w:r>
        <w:rPr>
          <w:rFonts w:ascii="Times New Roman" w:eastAsia="等线" w:hAnsi="Times New Roman"/>
          <w:lang w:val="en-US"/>
        </w:rPr>
        <w:t xml:space="preserve">n general, the high mobility scenarios should be distinguished from the normal scenarios for the </w:t>
      </w:r>
      <w:r>
        <w:rPr>
          <w:rFonts w:ascii="Times New Roman" w:eastAsia="等线" w:hAnsi="Times New Roman"/>
          <w:lang w:val="en-US"/>
        </w:rPr>
        <w:t>reason that high-</w:t>
      </w:r>
      <w:r>
        <w:rPr>
          <w:rFonts w:ascii="Times New Roman" w:eastAsia="等线" w:hAnsi="Times New Roman" w:hint="eastAsia"/>
          <w:lang w:val="en-US"/>
        </w:rPr>
        <w:t>speeds</w:t>
      </w:r>
      <w:r>
        <w:rPr>
          <w:rFonts w:ascii="Times New Roman" w:eastAsia="等线" w:hAnsi="Times New Roman"/>
          <w:lang w:val="en-US"/>
        </w:rPr>
        <w:t xml:space="preserve"> are considered to be one of the most important factors affecting user experience. OAM can do the job to optimize the network performance for high-speed scenarios, with the assistance of collecting the user experience of high-speed U</w:t>
      </w:r>
      <w:r>
        <w:rPr>
          <w:rFonts w:ascii="Times New Roman" w:eastAsia="等线" w:hAnsi="Times New Roman"/>
          <w:lang w:val="en-US"/>
        </w:rPr>
        <w:t>Es and network quality. While, whether and how to support the high-mobility scenario for NR QoE continues to discuss. As usual, the HSDN cells is only used for providing service to high-speed UEs</w:t>
      </w:r>
      <w:r>
        <w:rPr>
          <w:rFonts w:ascii="Times New Roman" w:eastAsia="等线" w:hAnsi="Times New Roman" w:hint="eastAsia"/>
          <w:lang w:val="en-US"/>
        </w:rPr>
        <w:t>,</w:t>
      </w:r>
      <w:r>
        <w:rPr>
          <w:rFonts w:ascii="Times New Roman" w:eastAsia="等线" w:hAnsi="Times New Roman"/>
          <w:lang w:val="en-US"/>
        </w:rPr>
        <w:t xml:space="preserve"> normally there will be some normal and medium mobility UEs </w:t>
      </w:r>
      <w:r>
        <w:rPr>
          <w:rFonts w:ascii="Times New Roman" w:eastAsia="等线" w:hAnsi="Times New Roman"/>
          <w:lang w:val="en-US"/>
        </w:rPr>
        <w:t>occasionally in the HSDN cells, in order to precisely capture those high-mobility UEs, the HSDN cells should further consider its high-speed UEs.</w:t>
      </w:r>
    </w:p>
    <w:p w:rsidR="00941E1E" w:rsidRDefault="00B9521A">
      <w:pPr>
        <w:rPr>
          <w:rFonts w:eastAsia="宋体"/>
          <w:lang w:val="en-US"/>
        </w:rPr>
      </w:pPr>
      <w:r>
        <w:rPr>
          <w:rFonts w:ascii="Times New Roman" w:eastAsia="宋体" w:hAnsi="Times New Roman"/>
          <w:b/>
          <w:bCs/>
          <w:lang w:val="en-US"/>
        </w:rPr>
        <w:t>O</w:t>
      </w:r>
      <w:r>
        <w:rPr>
          <w:rFonts w:ascii="Times New Roman" w:eastAsia="宋体" w:hAnsi="Times New Roman" w:hint="eastAsia"/>
          <w:b/>
          <w:bCs/>
          <w:lang w:val="en-US"/>
        </w:rPr>
        <w:t>bservation</w:t>
      </w:r>
      <w:r>
        <w:rPr>
          <w:rFonts w:ascii="Times New Roman" w:eastAsia="宋体" w:hAnsi="Times New Roman"/>
          <w:b/>
          <w:bCs/>
          <w:lang w:val="en-US"/>
        </w:rPr>
        <w:t xml:space="preserve"> </w:t>
      </w:r>
      <w:r>
        <w:rPr>
          <w:rFonts w:ascii="Times New Roman" w:eastAsia="宋体" w:hAnsi="Times New Roman" w:hint="eastAsia"/>
          <w:b/>
          <w:bCs/>
          <w:lang w:val="en-US"/>
        </w:rPr>
        <w:t xml:space="preserve">1: </w:t>
      </w:r>
      <w:r>
        <w:rPr>
          <w:rFonts w:ascii="Times New Roman" w:eastAsia="宋体" w:hAnsi="Times New Roman"/>
          <w:b/>
          <w:bCs/>
          <w:lang w:val="en-US"/>
        </w:rPr>
        <w:t>high-speed UEs in HSDN cells should be considered as high-mobility scenarios in QMC.</w:t>
      </w:r>
    </w:p>
    <w:p w:rsidR="00941E1E" w:rsidRDefault="00941E1E">
      <w:pPr>
        <w:rPr>
          <w:rFonts w:ascii="Times New Roman" w:eastAsia="等线" w:hAnsi="Times New Roman"/>
          <w:lang w:val="en-US"/>
        </w:rPr>
      </w:pPr>
    </w:p>
    <w:p w:rsidR="00941E1E" w:rsidRDefault="00B9521A">
      <w:pPr>
        <w:rPr>
          <w:rFonts w:ascii="Times New Roman" w:eastAsia="等线" w:hAnsi="Times New Roman"/>
          <w:lang w:val="en-US"/>
        </w:rPr>
      </w:pPr>
      <w:r>
        <w:rPr>
          <w:rFonts w:ascii="Times New Roman" w:eastAsia="等线" w:hAnsi="Times New Roman"/>
          <w:lang w:val="en-US"/>
        </w:rPr>
        <w:t>Regarding</w:t>
      </w:r>
      <w:r>
        <w:rPr>
          <w:rFonts w:ascii="Times New Roman" w:eastAsia="等线" w:hAnsi="Times New Roman"/>
          <w:lang w:val="en-US"/>
        </w:rPr>
        <w:t xml:space="preserve"> HSDN cells, OAM is expected to configure the area scope within the HSDN cell list accordingly. But still, the QoE measurements can be</w:t>
      </w:r>
      <w:r>
        <w:t xml:space="preserve"> </w:t>
      </w:r>
      <w:r>
        <w:rPr>
          <w:rFonts w:ascii="Times New Roman" w:eastAsia="等线" w:hAnsi="Times New Roman"/>
          <w:lang w:val="en-US"/>
        </w:rPr>
        <w:t>suspended if the UE moves out</w:t>
      </w:r>
      <w:r>
        <w:rPr>
          <w:rFonts w:ascii="Times New Roman" w:eastAsia="等线" w:hAnsi="Times New Roman" w:hint="eastAsia"/>
          <w:lang w:val="en-US"/>
        </w:rPr>
        <w:t>sid</w:t>
      </w:r>
      <w:r>
        <w:rPr>
          <w:rFonts w:ascii="Times New Roman" w:eastAsia="等线" w:hAnsi="Times New Roman"/>
          <w:lang w:val="en-US"/>
        </w:rPr>
        <w:t xml:space="preserve">e the coverage of the configured HSDN cells. OAM can configure a dedicated high-mobility </w:t>
      </w:r>
      <w:r>
        <w:rPr>
          <w:rFonts w:ascii="Times New Roman" w:eastAsia="等线" w:hAnsi="Times New Roman"/>
          <w:lang w:val="en-US"/>
        </w:rPr>
        <w:t>QoE configuration differ from the regular QoE, with the area scope of whole list of HSDN cell. Then in the handover scenarios, the QoE measurement would not stop unless it moves to non-HSDN cells.</w:t>
      </w:r>
    </w:p>
    <w:p w:rsidR="00941E1E" w:rsidRDefault="00A63C75">
      <w:pPr>
        <w:rPr>
          <w:rFonts w:ascii="Times New Roman" w:eastAsia="等线" w:hAnsi="Times New Roman"/>
          <w:b/>
          <w:lang w:val="en-US"/>
        </w:rPr>
      </w:pPr>
      <w:r>
        <w:rPr>
          <w:rFonts w:ascii="Times New Roman" w:eastAsia="宋体" w:hAnsi="Times New Roman"/>
          <w:b/>
          <w:bCs/>
          <w:lang w:val="en-US"/>
        </w:rPr>
        <w:t>Proposal 1</w:t>
      </w:r>
      <w:r w:rsidR="00B9521A">
        <w:rPr>
          <w:rFonts w:ascii="Times New Roman" w:eastAsia="宋体" w:hAnsi="Times New Roman"/>
          <w:b/>
          <w:bCs/>
          <w:lang w:val="en-US"/>
        </w:rPr>
        <w:t xml:space="preserve">: </w:t>
      </w:r>
      <w:r w:rsidR="00B9521A">
        <w:rPr>
          <w:rFonts w:ascii="Times New Roman" w:eastAsia="等线" w:hAnsi="Times New Roman"/>
          <w:b/>
          <w:lang w:val="en-US"/>
        </w:rPr>
        <w:t>The Area Scope IE needs to be extended to the l</w:t>
      </w:r>
      <w:r w:rsidR="00B9521A">
        <w:rPr>
          <w:rFonts w:ascii="Times New Roman" w:eastAsia="等线" w:hAnsi="Times New Roman"/>
          <w:b/>
          <w:lang w:val="en-US"/>
        </w:rPr>
        <w:t>ist of HSDN cell for high-mobility HSDN QoE configuration</w:t>
      </w:r>
      <w:r w:rsidR="00B9521A">
        <w:rPr>
          <w:rFonts w:ascii="Times New Roman" w:eastAsia="宋体" w:hAnsi="Times New Roman"/>
          <w:b/>
          <w:bCs/>
          <w:lang w:val="en-US"/>
        </w:rPr>
        <w:t>.</w:t>
      </w:r>
    </w:p>
    <w:p w:rsidR="00941E1E" w:rsidRDefault="00941E1E">
      <w:pPr>
        <w:rPr>
          <w:rFonts w:ascii="Times New Roman" w:eastAsia="等线" w:hAnsi="Times New Roman"/>
          <w:lang w:val="en-US"/>
        </w:rPr>
      </w:pPr>
    </w:p>
    <w:p w:rsidR="00941E1E" w:rsidRDefault="00B9521A">
      <w:pPr>
        <w:rPr>
          <w:rFonts w:ascii="Times New Roman" w:eastAsia="等线" w:hAnsi="Times New Roman"/>
          <w:lang w:val="en-US"/>
        </w:rPr>
      </w:pPr>
      <w:r>
        <w:rPr>
          <w:rFonts w:ascii="Times New Roman" w:eastAsia="等线" w:hAnsi="Times New Roman"/>
          <w:lang w:val="en-US"/>
        </w:rPr>
        <w:t>Considering to support QMC in high-speed UEs in non-HSDN cells, the mobility state criteria need to be determined. Conventionally, the UE mobility state criteria is determined by the number of cel</w:t>
      </w:r>
      <w:r>
        <w:rPr>
          <w:rFonts w:ascii="Times New Roman" w:eastAsia="等线" w:hAnsi="Times New Roman"/>
          <w:lang w:val="en-US"/>
        </w:rPr>
        <w:t xml:space="preserve">l reselections during a time period, and high mobility state refer to a larger number of cell reselections during a time period as defined in TS 38.304. Also the UE-speed seems to be a straightforward criteria for high-mobility state. </w:t>
      </w:r>
    </w:p>
    <w:p w:rsidR="00941E1E" w:rsidRDefault="00A63C75">
      <w:pPr>
        <w:rPr>
          <w:rFonts w:ascii="Times New Roman" w:eastAsia="宋体" w:hAnsi="Times New Roman"/>
          <w:b/>
          <w:bCs/>
          <w:lang w:val="en-US"/>
        </w:rPr>
      </w:pPr>
      <w:r>
        <w:rPr>
          <w:rFonts w:ascii="Times New Roman" w:eastAsia="宋体" w:hAnsi="Times New Roman"/>
          <w:b/>
          <w:bCs/>
          <w:lang w:val="en-US"/>
        </w:rPr>
        <w:t>Proposal 2</w:t>
      </w:r>
      <w:r w:rsidR="00B9521A">
        <w:rPr>
          <w:rFonts w:ascii="Times New Roman" w:eastAsia="宋体" w:hAnsi="Times New Roman"/>
          <w:b/>
          <w:bCs/>
          <w:lang w:val="en-US"/>
        </w:rPr>
        <w:t>: A high-s</w:t>
      </w:r>
      <w:r w:rsidR="00B9521A">
        <w:rPr>
          <w:rFonts w:ascii="Times New Roman" w:eastAsia="宋体" w:hAnsi="Times New Roman"/>
          <w:b/>
          <w:bCs/>
          <w:lang w:val="en-US"/>
        </w:rPr>
        <w:t>peed indication should be included in the QoE configuration for high-mobility only.</w:t>
      </w:r>
    </w:p>
    <w:p w:rsidR="00941E1E" w:rsidRDefault="00941E1E">
      <w:pPr>
        <w:rPr>
          <w:rFonts w:ascii="Times New Roman" w:eastAsia="等线" w:hAnsi="Times New Roman"/>
          <w:bCs/>
          <w:lang w:val="en-US"/>
        </w:rPr>
      </w:pPr>
    </w:p>
    <w:p w:rsidR="00941E1E" w:rsidRDefault="00B9521A">
      <w:pPr>
        <w:pStyle w:val="1"/>
        <w:rPr>
          <w:rFonts w:ascii="Times New Roman" w:hAnsi="Times New Roman" w:cs="Times New Roman"/>
          <w:sz w:val="40"/>
        </w:rPr>
      </w:pPr>
      <w:r>
        <w:rPr>
          <w:rFonts w:ascii="Times New Roman" w:hAnsi="Times New Roman" w:cs="Times New Roman"/>
          <w:sz w:val="40"/>
        </w:rPr>
        <w:lastRenderedPageBreak/>
        <w:t>Conclusion</w:t>
      </w:r>
    </w:p>
    <w:p w:rsidR="00BE284C" w:rsidRDefault="00BE284C" w:rsidP="00BE284C">
      <w:pPr>
        <w:rPr>
          <w:rFonts w:eastAsia="宋体"/>
          <w:lang w:val="en-US"/>
        </w:rPr>
      </w:pPr>
      <w:bookmarkStart w:id="0" w:name="_In-sequence_SDU_delivery"/>
      <w:bookmarkEnd w:id="0"/>
      <w:r>
        <w:rPr>
          <w:rFonts w:ascii="Times New Roman" w:eastAsia="宋体" w:hAnsi="Times New Roman"/>
          <w:b/>
          <w:bCs/>
          <w:lang w:val="en-US"/>
        </w:rPr>
        <w:t>O</w:t>
      </w:r>
      <w:r>
        <w:rPr>
          <w:rFonts w:ascii="Times New Roman" w:eastAsia="宋体" w:hAnsi="Times New Roman" w:hint="eastAsia"/>
          <w:b/>
          <w:bCs/>
          <w:lang w:val="en-US"/>
        </w:rPr>
        <w:t>bservation</w:t>
      </w:r>
      <w:r>
        <w:rPr>
          <w:rFonts w:ascii="Times New Roman" w:eastAsia="宋体" w:hAnsi="Times New Roman"/>
          <w:b/>
          <w:bCs/>
          <w:lang w:val="en-US"/>
        </w:rPr>
        <w:t xml:space="preserve"> </w:t>
      </w:r>
      <w:r>
        <w:rPr>
          <w:rFonts w:ascii="Times New Roman" w:eastAsia="宋体" w:hAnsi="Times New Roman" w:hint="eastAsia"/>
          <w:b/>
          <w:bCs/>
          <w:lang w:val="en-US"/>
        </w:rPr>
        <w:t xml:space="preserve">1: </w:t>
      </w:r>
      <w:r>
        <w:rPr>
          <w:rFonts w:ascii="Times New Roman" w:eastAsia="宋体" w:hAnsi="Times New Roman"/>
          <w:b/>
          <w:bCs/>
          <w:lang w:val="en-US"/>
        </w:rPr>
        <w:t>high-speed UEs in HSDN cells should be considered as high-mobility scenarios in QMC.</w:t>
      </w:r>
    </w:p>
    <w:p w:rsidR="00941E1E" w:rsidRDefault="00A63C75">
      <w:pPr>
        <w:rPr>
          <w:rFonts w:ascii="Times New Roman" w:eastAsia="等线" w:hAnsi="Times New Roman"/>
          <w:b/>
          <w:lang w:val="en-US"/>
        </w:rPr>
      </w:pPr>
      <w:bookmarkStart w:id="1" w:name="_GoBack"/>
      <w:bookmarkEnd w:id="1"/>
      <w:r>
        <w:rPr>
          <w:rFonts w:ascii="Times New Roman" w:eastAsia="宋体" w:hAnsi="Times New Roman"/>
          <w:b/>
          <w:bCs/>
          <w:lang w:val="en-US"/>
        </w:rPr>
        <w:t>Proposal 1</w:t>
      </w:r>
      <w:r w:rsidR="00B9521A">
        <w:rPr>
          <w:rFonts w:ascii="Times New Roman" w:eastAsia="宋体" w:hAnsi="Times New Roman"/>
          <w:b/>
          <w:bCs/>
          <w:lang w:val="en-US"/>
        </w:rPr>
        <w:t xml:space="preserve">: </w:t>
      </w:r>
      <w:r w:rsidR="00B9521A">
        <w:rPr>
          <w:rFonts w:ascii="Times New Roman" w:eastAsia="等线" w:hAnsi="Times New Roman"/>
          <w:b/>
          <w:lang w:val="en-US"/>
        </w:rPr>
        <w:t xml:space="preserve">The Area Scope IE needs to be </w:t>
      </w:r>
      <w:r w:rsidR="00B9521A">
        <w:rPr>
          <w:rFonts w:ascii="Times New Roman" w:eastAsia="等线" w:hAnsi="Times New Roman"/>
          <w:b/>
          <w:lang w:val="en-US"/>
        </w:rPr>
        <w:t>extended to the list of HSDN cell for high-mobility HSDN QoE configuration</w:t>
      </w:r>
      <w:r w:rsidR="00B9521A">
        <w:rPr>
          <w:rFonts w:ascii="Times New Roman" w:eastAsia="宋体" w:hAnsi="Times New Roman"/>
          <w:b/>
          <w:bCs/>
          <w:lang w:val="en-US"/>
        </w:rPr>
        <w:t>.</w:t>
      </w:r>
    </w:p>
    <w:p w:rsidR="00941E1E" w:rsidRDefault="00A63C75">
      <w:pPr>
        <w:rPr>
          <w:rFonts w:ascii="Times New Roman" w:eastAsia="宋体" w:hAnsi="Times New Roman"/>
          <w:b/>
          <w:bCs/>
          <w:lang w:val="en-US"/>
        </w:rPr>
      </w:pPr>
      <w:r>
        <w:rPr>
          <w:rFonts w:ascii="Times New Roman" w:eastAsia="宋体" w:hAnsi="Times New Roman"/>
          <w:b/>
          <w:bCs/>
          <w:lang w:val="en-US"/>
        </w:rPr>
        <w:t>Proposal 2</w:t>
      </w:r>
      <w:r w:rsidR="00B9521A">
        <w:rPr>
          <w:rFonts w:ascii="Times New Roman" w:eastAsia="宋体" w:hAnsi="Times New Roman"/>
          <w:b/>
          <w:bCs/>
          <w:lang w:val="en-US"/>
        </w:rPr>
        <w:t>: A high-speed indication should be included in the QoE configuration for high-mobility only.</w:t>
      </w:r>
    </w:p>
    <w:p w:rsidR="00941E1E" w:rsidRDefault="00941E1E">
      <w:pPr>
        <w:rPr>
          <w:rFonts w:ascii="Times New Roman" w:hAnsi="Times New Roman"/>
          <w:b/>
          <w:bCs/>
          <w:sz w:val="21"/>
          <w:szCs w:val="21"/>
          <w:lang w:val="en-US"/>
        </w:rPr>
      </w:pPr>
    </w:p>
    <w:sectPr w:rsidR="00941E1E">
      <w:headerReference w:type="even" r:id="rId13"/>
      <w:footerReference w:type="default" r:id="rId14"/>
      <w:footnotePr>
        <w:numRestart w:val="eachSect"/>
      </w:footnotePr>
      <w:pgSz w:w="11907" w:h="16840"/>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21A" w:rsidRDefault="00B9521A">
      <w:pPr>
        <w:spacing w:after="0"/>
      </w:pPr>
      <w:r>
        <w:separator/>
      </w:r>
    </w:p>
  </w:endnote>
  <w:endnote w:type="continuationSeparator" w:id="0">
    <w:p w:rsidR="00B9521A" w:rsidRDefault="00B952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00"/>
    <w:family w:val="auto"/>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118918"/>
    </w:sdtPr>
    <w:sdtEndPr/>
    <w:sdtContent>
      <w:p w:rsidR="00941E1E" w:rsidRDefault="00B9521A">
        <w:pPr>
          <w:pStyle w:val="ab"/>
        </w:pPr>
        <w:r>
          <w:fldChar w:fldCharType="begin"/>
        </w:r>
        <w:r>
          <w:instrText xml:space="preserve"> PAGE</w:instrText>
        </w:r>
        <w:r>
          <w:instrText xml:space="preserve">   \* MERGEFORMAT </w:instrText>
        </w:r>
        <w:r>
          <w:fldChar w:fldCharType="separate"/>
        </w:r>
        <w:r w:rsidR="00BE284C">
          <w:rPr>
            <w:noProof/>
          </w:rPr>
          <w:t>2</w:t>
        </w:r>
        <w:r>
          <w:fldChar w:fldCharType="end"/>
        </w:r>
      </w:p>
    </w:sdtContent>
  </w:sdt>
  <w:p w:rsidR="00941E1E" w:rsidRDefault="00941E1E">
    <w:pPr>
      <w:pStyle w:val="ab"/>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21A" w:rsidRDefault="00B9521A">
      <w:pPr>
        <w:spacing w:after="0"/>
      </w:pPr>
      <w:r>
        <w:separator/>
      </w:r>
    </w:p>
  </w:footnote>
  <w:footnote w:type="continuationSeparator" w:id="0">
    <w:p w:rsidR="00B9521A" w:rsidRDefault="00B9521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E1E" w:rsidRDefault="00B952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130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7D9"/>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0BD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072"/>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2FB"/>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5F23"/>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389"/>
    <w:rsid w:val="000B1AFB"/>
    <w:rsid w:val="000B1B37"/>
    <w:rsid w:val="000B1D81"/>
    <w:rsid w:val="000B2481"/>
    <w:rsid w:val="000B2754"/>
    <w:rsid w:val="000B311C"/>
    <w:rsid w:val="000B3B91"/>
    <w:rsid w:val="000B3F36"/>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079"/>
    <w:rsid w:val="00110194"/>
    <w:rsid w:val="00110AC2"/>
    <w:rsid w:val="00110F86"/>
    <w:rsid w:val="00111755"/>
    <w:rsid w:val="00112950"/>
    <w:rsid w:val="00112D99"/>
    <w:rsid w:val="00114467"/>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7A5"/>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5B6"/>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0B8"/>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EAA"/>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9B5"/>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4E04"/>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79E"/>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2D6A"/>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18D"/>
    <w:rsid w:val="002119FE"/>
    <w:rsid w:val="002124DD"/>
    <w:rsid w:val="002124E6"/>
    <w:rsid w:val="0021330B"/>
    <w:rsid w:val="002138DD"/>
    <w:rsid w:val="0021427C"/>
    <w:rsid w:val="002147E2"/>
    <w:rsid w:val="00214AC3"/>
    <w:rsid w:val="00214BEA"/>
    <w:rsid w:val="00215280"/>
    <w:rsid w:val="002158C6"/>
    <w:rsid w:val="002159F2"/>
    <w:rsid w:val="00215CAB"/>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425"/>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10D4"/>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A8"/>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3DAD"/>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DDC"/>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048"/>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298"/>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5865"/>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624"/>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63"/>
    <w:rsid w:val="00392ED5"/>
    <w:rsid w:val="003930C5"/>
    <w:rsid w:val="00393459"/>
    <w:rsid w:val="003935AA"/>
    <w:rsid w:val="00393601"/>
    <w:rsid w:val="00393669"/>
    <w:rsid w:val="00394173"/>
    <w:rsid w:val="00394564"/>
    <w:rsid w:val="00394887"/>
    <w:rsid w:val="00394D39"/>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6DF8"/>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E7ACC"/>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3FDC"/>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5F8"/>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529"/>
    <w:rsid w:val="00464EA6"/>
    <w:rsid w:val="00465737"/>
    <w:rsid w:val="00465A03"/>
    <w:rsid w:val="00465AF4"/>
    <w:rsid w:val="00465CF3"/>
    <w:rsid w:val="00465F53"/>
    <w:rsid w:val="004665E5"/>
    <w:rsid w:val="0046695E"/>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87ECF"/>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39F3"/>
    <w:rsid w:val="004943B0"/>
    <w:rsid w:val="00494828"/>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C91"/>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2E8E"/>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A98"/>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ACC"/>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105C"/>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AD5"/>
    <w:rsid w:val="00596C57"/>
    <w:rsid w:val="00597FA1"/>
    <w:rsid w:val="005A0446"/>
    <w:rsid w:val="005A0A6B"/>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B8A"/>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7C1"/>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622"/>
    <w:rsid w:val="00653734"/>
    <w:rsid w:val="00653FF7"/>
    <w:rsid w:val="0065429D"/>
    <w:rsid w:val="00657133"/>
    <w:rsid w:val="00657255"/>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5EE4"/>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0F84"/>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4C1"/>
    <w:rsid w:val="00717A55"/>
    <w:rsid w:val="00720A3B"/>
    <w:rsid w:val="00720CA1"/>
    <w:rsid w:val="00721E3B"/>
    <w:rsid w:val="0072246E"/>
    <w:rsid w:val="0072307D"/>
    <w:rsid w:val="00723177"/>
    <w:rsid w:val="0072338A"/>
    <w:rsid w:val="0072344A"/>
    <w:rsid w:val="00723B7D"/>
    <w:rsid w:val="00723C2C"/>
    <w:rsid w:val="00724190"/>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472C6"/>
    <w:rsid w:val="00750385"/>
    <w:rsid w:val="00750521"/>
    <w:rsid w:val="007508D3"/>
    <w:rsid w:val="00750CD7"/>
    <w:rsid w:val="007511C1"/>
    <w:rsid w:val="007511C8"/>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4F25"/>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685"/>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C9D"/>
    <w:rsid w:val="00835F65"/>
    <w:rsid w:val="008361FA"/>
    <w:rsid w:val="00837248"/>
    <w:rsid w:val="0083727D"/>
    <w:rsid w:val="0083734E"/>
    <w:rsid w:val="0083751E"/>
    <w:rsid w:val="00840BBB"/>
    <w:rsid w:val="00840BF7"/>
    <w:rsid w:val="00840CE5"/>
    <w:rsid w:val="00840ED8"/>
    <w:rsid w:val="008412C8"/>
    <w:rsid w:val="008413D7"/>
    <w:rsid w:val="008418A0"/>
    <w:rsid w:val="00841B16"/>
    <w:rsid w:val="008429A7"/>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0A"/>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5BF"/>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2DAF"/>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B798D"/>
    <w:rsid w:val="008C0596"/>
    <w:rsid w:val="008C11C1"/>
    <w:rsid w:val="008C185E"/>
    <w:rsid w:val="008C1BF1"/>
    <w:rsid w:val="008C1F5F"/>
    <w:rsid w:val="008C2094"/>
    <w:rsid w:val="008C2651"/>
    <w:rsid w:val="008C282B"/>
    <w:rsid w:val="008C3364"/>
    <w:rsid w:val="008C344A"/>
    <w:rsid w:val="008C383E"/>
    <w:rsid w:val="008C3938"/>
    <w:rsid w:val="008C3B61"/>
    <w:rsid w:val="008C3E0B"/>
    <w:rsid w:val="008C3FAA"/>
    <w:rsid w:val="008C3FBF"/>
    <w:rsid w:val="008C4E59"/>
    <w:rsid w:val="008C53D7"/>
    <w:rsid w:val="008C54C1"/>
    <w:rsid w:val="008C55F5"/>
    <w:rsid w:val="008C5DE3"/>
    <w:rsid w:val="008C6A0A"/>
    <w:rsid w:val="008C7439"/>
    <w:rsid w:val="008C7C91"/>
    <w:rsid w:val="008D013F"/>
    <w:rsid w:val="008D014D"/>
    <w:rsid w:val="008D0438"/>
    <w:rsid w:val="008D0819"/>
    <w:rsid w:val="008D0EBE"/>
    <w:rsid w:val="008D1D81"/>
    <w:rsid w:val="008D26AB"/>
    <w:rsid w:val="008D2A47"/>
    <w:rsid w:val="008D2C7F"/>
    <w:rsid w:val="008D2E0A"/>
    <w:rsid w:val="008D3268"/>
    <w:rsid w:val="008D459E"/>
    <w:rsid w:val="008D45FA"/>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9E7"/>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497"/>
    <w:rsid w:val="00902A82"/>
    <w:rsid w:val="00904069"/>
    <w:rsid w:val="00904896"/>
    <w:rsid w:val="00904C8E"/>
    <w:rsid w:val="0090565D"/>
    <w:rsid w:val="00905B94"/>
    <w:rsid w:val="0090609C"/>
    <w:rsid w:val="00906684"/>
    <w:rsid w:val="009066DC"/>
    <w:rsid w:val="0090759F"/>
    <w:rsid w:val="009077CB"/>
    <w:rsid w:val="00907D13"/>
    <w:rsid w:val="009122AC"/>
    <w:rsid w:val="00913B13"/>
    <w:rsid w:val="009143F4"/>
    <w:rsid w:val="0091448B"/>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6EC6"/>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1E1E"/>
    <w:rsid w:val="00943641"/>
    <w:rsid w:val="00943893"/>
    <w:rsid w:val="009448CD"/>
    <w:rsid w:val="00945120"/>
    <w:rsid w:val="009451EC"/>
    <w:rsid w:val="00945FC3"/>
    <w:rsid w:val="00946CDC"/>
    <w:rsid w:val="00946D12"/>
    <w:rsid w:val="0094715A"/>
    <w:rsid w:val="009502ED"/>
    <w:rsid w:val="00950582"/>
    <w:rsid w:val="00950DD5"/>
    <w:rsid w:val="00951662"/>
    <w:rsid w:val="00951963"/>
    <w:rsid w:val="00951C49"/>
    <w:rsid w:val="00952A20"/>
    <w:rsid w:val="00952E52"/>
    <w:rsid w:val="0095314F"/>
    <w:rsid w:val="009554C4"/>
    <w:rsid w:val="00955805"/>
    <w:rsid w:val="00955806"/>
    <w:rsid w:val="009559BF"/>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5FE"/>
    <w:rsid w:val="00977985"/>
    <w:rsid w:val="00977C35"/>
    <w:rsid w:val="00977C4A"/>
    <w:rsid w:val="00981AE1"/>
    <w:rsid w:val="00982DB8"/>
    <w:rsid w:val="0098346E"/>
    <w:rsid w:val="009834DD"/>
    <w:rsid w:val="009839B3"/>
    <w:rsid w:val="00983CBC"/>
    <w:rsid w:val="00983D32"/>
    <w:rsid w:val="00983F85"/>
    <w:rsid w:val="00984620"/>
    <w:rsid w:val="009857F1"/>
    <w:rsid w:val="0098597F"/>
    <w:rsid w:val="00986934"/>
    <w:rsid w:val="00986A55"/>
    <w:rsid w:val="00986CEB"/>
    <w:rsid w:val="00986E92"/>
    <w:rsid w:val="009879B0"/>
    <w:rsid w:val="00987EAE"/>
    <w:rsid w:val="009900A9"/>
    <w:rsid w:val="0099087B"/>
    <w:rsid w:val="00990A00"/>
    <w:rsid w:val="0099175E"/>
    <w:rsid w:val="0099182E"/>
    <w:rsid w:val="009918BE"/>
    <w:rsid w:val="009918EA"/>
    <w:rsid w:val="00992A12"/>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AED"/>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4D94"/>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0663"/>
    <w:rsid w:val="009E12A4"/>
    <w:rsid w:val="009E1801"/>
    <w:rsid w:val="009E23E1"/>
    <w:rsid w:val="009E24A1"/>
    <w:rsid w:val="009E297C"/>
    <w:rsid w:val="009E29B1"/>
    <w:rsid w:val="009E3933"/>
    <w:rsid w:val="009E47BD"/>
    <w:rsid w:val="009E48E7"/>
    <w:rsid w:val="009E57E5"/>
    <w:rsid w:val="009E57FC"/>
    <w:rsid w:val="009E5B9C"/>
    <w:rsid w:val="009E7BD1"/>
    <w:rsid w:val="009E7C10"/>
    <w:rsid w:val="009E7E9E"/>
    <w:rsid w:val="009F09E1"/>
    <w:rsid w:val="009F0D21"/>
    <w:rsid w:val="009F11D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0692"/>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506"/>
    <w:rsid w:val="00A22ADC"/>
    <w:rsid w:val="00A239E8"/>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6CB2"/>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4656"/>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3C75"/>
    <w:rsid w:val="00A648A3"/>
    <w:rsid w:val="00A64D06"/>
    <w:rsid w:val="00A6520B"/>
    <w:rsid w:val="00A653D4"/>
    <w:rsid w:val="00A65AEA"/>
    <w:rsid w:val="00A65F26"/>
    <w:rsid w:val="00A66B93"/>
    <w:rsid w:val="00A66EB6"/>
    <w:rsid w:val="00A67F6A"/>
    <w:rsid w:val="00A7022E"/>
    <w:rsid w:val="00A70502"/>
    <w:rsid w:val="00A70BA7"/>
    <w:rsid w:val="00A70BCD"/>
    <w:rsid w:val="00A71212"/>
    <w:rsid w:val="00A716AE"/>
    <w:rsid w:val="00A71C5D"/>
    <w:rsid w:val="00A724B3"/>
    <w:rsid w:val="00A7257B"/>
    <w:rsid w:val="00A7275E"/>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977AC"/>
    <w:rsid w:val="00AA0D23"/>
    <w:rsid w:val="00AA0F21"/>
    <w:rsid w:val="00AA1350"/>
    <w:rsid w:val="00AA13CF"/>
    <w:rsid w:val="00AA13E3"/>
    <w:rsid w:val="00AA1A39"/>
    <w:rsid w:val="00AA2AF9"/>
    <w:rsid w:val="00AA4138"/>
    <w:rsid w:val="00AA4150"/>
    <w:rsid w:val="00AA4383"/>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CEC"/>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7D8"/>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416"/>
    <w:rsid w:val="00AF381E"/>
    <w:rsid w:val="00AF3CE1"/>
    <w:rsid w:val="00AF3DFD"/>
    <w:rsid w:val="00AF4C6E"/>
    <w:rsid w:val="00AF4EFD"/>
    <w:rsid w:val="00AF4F1E"/>
    <w:rsid w:val="00AF4FB5"/>
    <w:rsid w:val="00AF55F5"/>
    <w:rsid w:val="00AF5D96"/>
    <w:rsid w:val="00AF7367"/>
    <w:rsid w:val="00AF73B3"/>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B80"/>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4EA9"/>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069"/>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3D03"/>
    <w:rsid w:val="00B941F8"/>
    <w:rsid w:val="00B95170"/>
    <w:rsid w:val="00B9521A"/>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61"/>
    <w:rsid w:val="00BC3B86"/>
    <w:rsid w:val="00BC3C25"/>
    <w:rsid w:val="00BC42D9"/>
    <w:rsid w:val="00BC431B"/>
    <w:rsid w:val="00BC5829"/>
    <w:rsid w:val="00BC597D"/>
    <w:rsid w:val="00BC5B93"/>
    <w:rsid w:val="00BC5C8A"/>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84C"/>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9C0"/>
    <w:rsid w:val="00BF5A72"/>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27D9"/>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3B24"/>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591"/>
    <w:rsid w:val="00CC4619"/>
    <w:rsid w:val="00CC475E"/>
    <w:rsid w:val="00CC5B26"/>
    <w:rsid w:val="00CC63FA"/>
    <w:rsid w:val="00CC66BE"/>
    <w:rsid w:val="00CC6CEC"/>
    <w:rsid w:val="00CC71E0"/>
    <w:rsid w:val="00CC73C7"/>
    <w:rsid w:val="00CC79F8"/>
    <w:rsid w:val="00CC7C67"/>
    <w:rsid w:val="00CD12A0"/>
    <w:rsid w:val="00CD1FC7"/>
    <w:rsid w:val="00CD25FF"/>
    <w:rsid w:val="00CD4010"/>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1E1"/>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515"/>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21D"/>
    <w:rsid w:val="00D07484"/>
    <w:rsid w:val="00D10DCF"/>
    <w:rsid w:val="00D124E2"/>
    <w:rsid w:val="00D12769"/>
    <w:rsid w:val="00D13230"/>
    <w:rsid w:val="00D13492"/>
    <w:rsid w:val="00D134BA"/>
    <w:rsid w:val="00D13EB6"/>
    <w:rsid w:val="00D145B2"/>
    <w:rsid w:val="00D14E3F"/>
    <w:rsid w:val="00D15766"/>
    <w:rsid w:val="00D159C1"/>
    <w:rsid w:val="00D171D0"/>
    <w:rsid w:val="00D17AD8"/>
    <w:rsid w:val="00D20108"/>
    <w:rsid w:val="00D21059"/>
    <w:rsid w:val="00D216AF"/>
    <w:rsid w:val="00D21F3E"/>
    <w:rsid w:val="00D22A4D"/>
    <w:rsid w:val="00D22D4C"/>
    <w:rsid w:val="00D232FA"/>
    <w:rsid w:val="00D234F3"/>
    <w:rsid w:val="00D23771"/>
    <w:rsid w:val="00D23EAA"/>
    <w:rsid w:val="00D2444E"/>
    <w:rsid w:val="00D25A07"/>
    <w:rsid w:val="00D25AE4"/>
    <w:rsid w:val="00D262DA"/>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59A"/>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426"/>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52FA"/>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851"/>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1BA"/>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0ED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6E5"/>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2C1C"/>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5B34"/>
    <w:rsid w:val="00E2638A"/>
    <w:rsid w:val="00E26C7B"/>
    <w:rsid w:val="00E27D60"/>
    <w:rsid w:val="00E30385"/>
    <w:rsid w:val="00E3046F"/>
    <w:rsid w:val="00E31D1A"/>
    <w:rsid w:val="00E31ECF"/>
    <w:rsid w:val="00E32025"/>
    <w:rsid w:val="00E32CEF"/>
    <w:rsid w:val="00E33404"/>
    <w:rsid w:val="00E3379A"/>
    <w:rsid w:val="00E339B2"/>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4600"/>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94"/>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8A3"/>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2858"/>
    <w:rsid w:val="00E83006"/>
    <w:rsid w:val="00E8303D"/>
    <w:rsid w:val="00E8479B"/>
    <w:rsid w:val="00E8495A"/>
    <w:rsid w:val="00E852E9"/>
    <w:rsid w:val="00E8532B"/>
    <w:rsid w:val="00E854F9"/>
    <w:rsid w:val="00E85647"/>
    <w:rsid w:val="00E85B1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05"/>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47A6"/>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56E"/>
    <w:rsid w:val="00EE5BF0"/>
    <w:rsid w:val="00EE610E"/>
    <w:rsid w:val="00EE62B0"/>
    <w:rsid w:val="00EE6AE5"/>
    <w:rsid w:val="00EE6D0E"/>
    <w:rsid w:val="00EE7C47"/>
    <w:rsid w:val="00EF0CFF"/>
    <w:rsid w:val="00EF1052"/>
    <w:rsid w:val="00EF1143"/>
    <w:rsid w:val="00EF1A3B"/>
    <w:rsid w:val="00EF21A5"/>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7EF"/>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0E09"/>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BDB"/>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9E6"/>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4A"/>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0B0E"/>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0FF76DE"/>
    <w:rsid w:val="02AF3174"/>
    <w:rsid w:val="04111094"/>
    <w:rsid w:val="0490638E"/>
    <w:rsid w:val="06152829"/>
    <w:rsid w:val="06CC2A87"/>
    <w:rsid w:val="06E55ACF"/>
    <w:rsid w:val="077F04D9"/>
    <w:rsid w:val="080F6B12"/>
    <w:rsid w:val="09687F36"/>
    <w:rsid w:val="0B057CFB"/>
    <w:rsid w:val="0C4F656A"/>
    <w:rsid w:val="0CB04199"/>
    <w:rsid w:val="0DD359BA"/>
    <w:rsid w:val="0DDD51F1"/>
    <w:rsid w:val="0E444989"/>
    <w:rsid w:val="0F7475AE"/>
    <w:rsid w:val="0FB7580A"/>
    <w:rsid w:val="0FC6688A"/>
    <w:rsid w:val="108D1707"/>
    <w:rsid w:val="13232D35"/>
    <w:rsid w:val="158B5FE6"/>
    <w:rsid w:val="17650D6F"/>
    <w:rsid w:val="184B7AF2"/>
    <w:rsid w:val="1AE041B2"/>
    <w:rsid w:val="1CA3450A"/>
    <w:rsid w:val="1E5701E1"/>
    <w:rsid w:val="20242017"/>
    <w:rsid w:val="214135E7"/>
    <w:rsid w:val="2523151F"/>
    <w:rsid w:val="270C5387"/>
    <w:rsid w:val="27F31009"/>
    <w:rsid w:val="28101153"/>
    <w:rsid w:val="289A4890"/>
    <w:rsid w:val="2913307B"/>
    <w:rsid w:val="2BF10707"/>
    <w:rsid w:val="2CA241C4"/>
    <w:rsid w:val="2F4807C7"/>
    <w:rsid w:val="30FB364B"/>
    <w:rsid w:val="327370F9"/>
    <w:rsid w:val="366803A8"/>
    <w:rsid w:val="37B8766E"/>
    <w:rsid w:val="381A0ADD"/>
    <w:rsid w:val="39CE2422"/>
    <w:rsid w:val="3ACF398B"/>
    <w:rsid w:val="3D4601A5"/>
    <w:rsid w:val="3F9D6DD3"/>
    <w:rsid w:val="3FF646F8"/>
    <w:rsid w:val="41FD38C3"/>
    <w:rsid w:val="423A25CF"/>
    <w:rsid w:val="426E11B4"/>
    <w:rsid w:val="42890AC7"/>
    <w:rsid w:val="42E4469A"/>
    <w:rsid w:val="43A27541"/>
    <w:rsid w:val="43E40964"/>
    <w:rsid w:val="44167C39"/>
    <w:rsid w:val="44BF0095"/>
    <w:rsid w:val="457A6AA9"/>
    <w:rsid w:val="45956319"/>
    <w:rsid w:val="46080375"/>
    <w:rsid w:val="47530241"/>
    <w:rsid w:val="48D93007"/>
    <w:rsid w:val="49471751"/>
    <w:rsid w:val="49D61E99"/>
    <w:rsid w:val="4BAC20C5"/>
    <w:rsid w:val="4BC5292E"/>
    <w:rsid w:val="4CB34F6E"/>
    <w:rsid w:val="4CE95268"/>
    <w:rsid w:val="4DF74140"/>
    <w:rsid w:val="4DFB7782"/>
    <w:rsid w:val="4EFE34E6"/>
    <w:rsid w:val="4FF74B26"/>
    <w:rsid w:val="510374A0"/>
    <w:rsid w:val="517E5455"/>
    <w:rsid w:val="52177748"/>
    <w:rsid w:val="538D0E7A"/>
    <w:rsid w:val="55597ADB"/>
    <w:rsid w:val="563170F6"/>
    <w:rsid w:val="5889054F"/>
    <w:rsid w:val="5C8100EF"/>
    <w:rsid w:val="5D550F1A"/>
    <w:rsid w:val="5E5937E7"/>
    <w:rsid w:val="5E9505C0"/>
    <w:rsid w:val="604D7639"/>
    <w:rsid w:val="626612D7"/>
    <w:rsid w:val="62EB2566"/>
    <w:rsid w:val="645951EC"/>
    <w:rsid w:val="660901C1"/>
    <w:rsid w:val="666D1928"/>
    <w:rsid w:val="671C46C1"/>
    <w:rsid w:val="678E06E3"/>
    <w:rsid w:val="68553EE9"/>
    <w:rsid w:val="69713E00"/>
    <w:rsid w:val="6A127B12"/>
    <w:rsid w:val="6ADE5CCA"/>
    <w:rsid w:val="6AE702AE"/>
    <w:rsid w:val="6D5B21F7"/>
    <w:rsid w:val="6D6946B9"/>
    <w:rsid w:val="74C716DA"/>
    <w:rsid w:val="75863B26"/>
    <w:rsid w:val="763C2E9B"/>
    <w:rsid w:val="78416B7C"/>
    <w:rsid w:val="78B75F18"/>
    <w:rsid w:val="78FE5FFC"/>
    <w:rsid w:val="7BA16069"/>
    <w:rsid w:val="7BAA691D"/>
    <w:rsid w:val="7F5151E9"/>
    <w:rsid w:val="7F76266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94B3E"/>
  <w15:docId w15:val="{E5402BD0-2301-456D-B295-C1BDBC94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textAlignment w:val="baseline"/>
    </w:pPr>
    <w:rPr>
      <w:rFonts w:ascii="Arial" w:eastAsia="Times New Roman" w:hAnsi="Arial"/>
      <w:lang w:val="en-GB"/>
    </w:rPr>
  </w:style>
  <w:style w:type="paragraph" w:styleId="1">
    <w:name w:val="heading 1"/>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4"/>
    <w:link w:val="a5"/>
    <w:qFormat/>
    <w:pPr>
      <w:spacing w:before="120" w:after="120"/>
      <w:ind w:left="2438" w:hanging="1134"/>
    </w:pPr>
    <w:rPr>
      <w:rFonts w:ascii="Arial" w:eastAsia="Times New Roman" w:hAnsi="Arial"/>
      <w:kern w:val="20"/>
      <w:lang w:eastAsia="en-US"/>
    </w:rPr>
  </w:style>
  <w:style w:type="paragraph" w:styleId="a4">
    <w:name w:val="Body Text"/>
    <w:basedOn w:val="a"/>
    <w:link w:val="a6"/>
    <w:uiPriority w:val="99"/>
    <w:semiHidden/>
    <w:unhideWhenUsed/>
    <w:qFormat/>
  </w:style>
  <w:style w:type="paragraph" w:styleId="a7">
    <w:name w:val="annotation text"/>
    <w:basedOn w:val="a"/>
    <w:link w:val="a8"/>
    <w:qFormat/>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c"/>
    <w:link w:val="ad"/>
    <w:uiPriority w:val="99"/>
    <w:qFormat/>
    <w:pPr>
      <w:widowControl w:val="0"/>
      <w:jc w:val="center"/>
    </w:pPr>
    <w:rPr>
      <w:rFonts w:cs="Arial"/>
      <w:b/>
      <w:bCs/>
      <w:i/>
      <w:iCs/>
      <w:sz w:val="18"/>
      <w:szCs w:val="18"/>
      <w:lang w:val="en-US"/>
    </w:rPr>
  </w:style>
  <w:style w:type="paragraph" w:styleId="ac">
    <w:name w:val="header"/>
    <w:basedOn w:val="a"/>
    <w:link w:val="ae"/>
    <w:uiPriority w:val="99"/>
    <w:unhideWhenUsed/>
    <w:qFormat/>
    <w:pPr>
      <w:tabs>
        <w:tab w:val="center" w:pos="4513"/>
        <w:tab w:val="right" w:pos="9026"/>
      </w:tabs>
      <w:spacing w:after="0"/>
    </w:pPr>
  </w:style>
  <w:style w:type="paragraph" w:styleId="af">
    <w:name w:val="List"/>
    <w:basedOn w:val="a"/>
    <w:uiPriority w:val="99"/>
    <w:semiHidden/>
    <w:unhideWhenUsed/>
    <w:qFormat/>
    <w:pPr>
      <w:ind w:left="283" w:hanging="283"/>
      <w:contextualSpacing/>
    </w:pPr>
  </w:style>
  <w:style w:type="paragraph" w:styleId="af0">
    <w:name w:val="Normal (Web)"/>
    <w:basedOn w:val="a"/>
    <w:uiPriority w:val="99"/>
    <w:semiHidden/>
    <w:unhideWhenUsed/>
    <w:qFormat/>
    <w:rPr>
      <w:sz w:val="24"/>
    </w:rPr>
  </w:style>
  <w:style w:type="paragraph" w:styleId="af1">
    <w:name w:val="annotation subject"/>
    <w:basedOn w:val="a7"/>
    <w:next w:val="a7"/>
    <w:link w:val="af2"/>
    <w:uiPriority w:val="99"/>
    <w:semiHidden/>
    <w:unhideWhenUsed/>
    <w:qFormat/>
    <w:rPr>
      <w:b/>
      <w:bCs/>
    </w:rPr>
  </w:style>
  <w:style w:type="table" w:styleId="af3">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semiHidden/>
    <w:qFormat/>
  </w:style>
  <w:style w:type="character" w:styleId="af5">
    <w:name w:val="Hyperlink"/>
    <w:uiPriority w:val="99"/>
    <w:qFormat/>
    <w:rPr>
      <w:color w:val="0000FF"/>
      <w:u w:val="single"/>
      <w:lang w:val="en-GB"/>
    </w:rPr>
  </w:style>
  <w:style w:type="character" w:styleId="af6">
    <w:name w:val="annotation reference"/>
    <w:qFormat/>
    <w:rPr>
      <w:sz w:val="16"/>
      <w:szCs w:val="16"/>
    </w:rPr>
  </w:style>
  <w:style w:type="character" w:customStyle="1" w:styleId="10">
    <w:name w:val="标题 1 字符"/>
    <w:basedOn w:val="a0"/>
    <w:link w:val="1"/>
    <w:qFormat/>
    <w:rPr>
      <w:rFonts w:ascii="Arial" w:eastAsia="Times New Roman" w:hAnsi="Arial" w:cs="Arial"/>
      <w:sz w:val="36"/>
      <w:szCs w:val="36"/>
      <w:lang w:val="en-GB" w:eastAsia="zh-CN"/>
    </w:rPr>
  </w:style>
  <w:style w:type="character" w:customStyle="1" w:styleId="20">
    <w:name w:val="标题 2 字符"/>
    <w:basedOn w:val="a0"/>
    <w:link w:val="2"/>
    <w:qFormat/>
    <w:rPr>
      <w:rFonts w:ascii="Arial" w:eastAsia="Times New Roman" w:hAnsi="Arial" w:cs="Arial"/>
      <w:sz w:val="32"/>
      <w:szCs w:val="32"/>
      <w:lang w:val="en-GB" w:eastAsia="zh-CN"/>
    </w:rPr>
  </w:style>
  <w:style w:type="character" w:customStyle="1" w:styleId="30">
    <w:name w:val="标题 3 字符"/>
    <w:basedOn w:val="a0"/>
    <w:link w:val="3"/>
    <w:qFormat/>
    <w:rPr>
      <w:rFonts w:ascii="Arial" w:eastAsia="Times New Roman" w:hAnsi="Arial" w:cs="Arial"/>
      <w:sz w:val="28"/>
      <w:szCs w:val="28"/>
      <w:lang w:val="en-GB" w:eastAsia="zh-CN"/>
    </w:rPr>
  </w:style>
  <w:style w:type="character" w:customStyle="1" w:styleId="40">
    <w:name w:val="标题 4 字符"/>
    <w:basedOn w:val="a0"/>
    <w:link w:val="4"/>
    <w:qFormat/>
    <w:rPr>
      <w:rFonts w:ascii="Arial" w:eastAsia="Times New Roman" w:hAnsi="Arial" w:cs="Arial"/>
      <w:sz w:val="24"/>
      <w:szCs w:val="24"/>
      <w:lang w:val="en-GB" w:eastAsia="zh-CN"/>
    </w:rPr>
  </w:style>
  <w:style w:type="character" w:customStyle="1" w:styleId="50">
    <w:name w:val="标题 5 字符"/>
    <w:basedOn w:val="a0"/>
    <w:link w:val="5"/>
    <w:qFormat/>
    <w:rPr>
      <w:rFonts w:ascii="Arial" w:eastAsia="Times New Roman" w:hAnsi="Arial" w:cs="Arial"/>
      <w:lang w:val="en-GB" w:eastAsia="zh-CN"/>
    </w:rPr>
  </w:style>
  <w:style w:type="character" w:customStyle="1" w:styleId="60">
    <w:name w:val="标题 6 字符"/>
    <w:basedOn w:val="a0"/>
    <w:link w:val="6"/>
    <w:qFormat/>
    <w:rPr>
      <w:rFonts w:ascii="Arial" w:eastAsia="Times New Roman" w:hAnsi="Arial" w:cs="Arial"/>
      <w:sz w:val="20"/>
      <w:szCs w:val="20"/>
      <w:lang w:val="en-GB" w:eastAsia="zh-CN"/>
    </w:rPr>
  </w:style>
  <w:style w:type="character" w:customStyle="1" w:styleId="70">
    <w:name w:val="标题 7 字符"/>
    <w:basedOn w:val="a0"/>
    <w:link w:val="7"/>
    <w:qFormat/>
    <w:rPr>
      <w:rFonts w:ascii="Arial" w:eastAsia="Times New Roman" w:hAnsi="Arial" w:cs="Arial"/>
      <w:sz w:val="20"/>
      <w:szCs w:val="20"/>
      <w:lang w:val="en-GB" w:eastAsia="zh-CN"/>
    </w:rPr>
  </w:style>
  <w:style w:type="character" w:customStyle="1" w:styleId="80">
    <w:name w:val="标题 8 字符"/>
    <w:basedOn w:val="a0"/>
    <w:link w:val="8"/>
    <w:qFormat/>
    <w:rPr>
      <w:rFonts w:ascii="Arial" w:eastAsia="Times New Roman" w:hAnsi="Arial" w:cs="Arial"/>
      <w:sz w:val="20"/>
      <w:szCs w:val="20"/>
      <w:lang w:val="en-GB" w:eastAsia="zh-CN"/>
    </w:rPr>
  </w:style>
  <w:style w:type="character" w:customStyle="1" w:styleId="90">
    <w:name w:val="标题 9 字符"/>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d">
    <w:name w:val="页脚 字符"/>
    <w:basedOn w:val="a0"/>
    <w:link w:val="ab"/>
    <w:uiPriority w:val="99"/>
    <w:qFormat/>
    <w:rPr>
      <w:rFonts w:ascii="Arial" w:eastAsia="Times New Roman" w:hAnsi="Arial" w:cs="Arial"/>
      <w:b/>
      <w:bCs/>
      <w:i/>
      <w:iCs/>
      <w:sz w:val="18"/>
      <w:szCs w:val="18"/>
      <w:lang w:val="en-US" w:eastAsia="zh-CN"/>
    </w:rPr>
  </w:style>
  <w:style w:type="character" w:customStyle="1" w:styleId="a8">
    <w:name w:val="批注文字 字符"/>
    <w:basedOn w:val="a0"/>
    <w:link w:val="a7"/>
    <w:qFormat/>
    <w:rPr>
      <w:rFonts w:ascii="Arial" w:eastAsia="Times New Roman" w:hAnsi="Arial" w:cs="Times New Roman"/>
      <w:sz w:val="20"/>
      <w:szCs w:val="20"/>
      <w:lang w:val="en-GB" w:eastAsia="zh-CN"/>
    </w:rPr>
  </w:style>
  <w:style w:type="paragraph" w:customStyle="1" w:styleId="B1">
    <w:name w:val="B1"/>
    <w:basedOn w:val="af"/>
    <w:link w:val="B1Char1"/>
    <w:qFormat/>
    <w:pPr>
      <w:spacing w:after="180"/>
      <w:ind w:left="568" w:hanging="284"/>
      <w:contextualSpacing w:val="0"/>
      <w:jc w:val="left"/>
    </w:pPr>
    <w:rPr>
      <w:lang w:eastAsia="en-US"/>
    </w:rPr>
  </w:style>
  <w:style w:type="paragraph" w:styleId="af7">
    <w:name w:val="List Paragraph"/>
    <w:basedOn w:val="a"/>
    <w:link w:val="af8"/>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e">
    <w:name w:val="页眉 字符"/>
    <w:basedOn w:val="a0"/>
    <w:link w:val="ac"/>
    <w:uiPriority w:val="99"/>
    <w:qFormat/>
    <w:rPr>
      <w:rFonts w:ascii="Arial" w:eastAsia="Times New Roman" w:hAnsi="Arial" w:cs="Times New Roman"/>
      <w:sz w:val="20"/>
      <w:szCs w:val="20"/>
      <w:lang w:val="en-GB" w:eastAsia="zh-CN"/>
    </w:rPr>
  </w:style>
  <w:style w:type="character" w:customStyle="1" w:styleId="a6">
    <w:name w:val="正文文本 字符"/>
    <w:basedOn w:val="a0"/>
    <w:link w:val="a4"/>
    <w:uiPriority w:val="99"/>
    <w:semiHidden/>
    <w:qFormat/>
    <w:rPr>
      <w:rFonts w:ascii="Arial" w:eastAsia="Times New Roman" w:hAnsi="Arial" w:cs="Times New Roman"/>
      <w:sz w:val="20"/>
      <w:szCs w:val="20"/>
      <w:lang w:val="en-GB" w:eastAsia="zh-CN"/>
    </w:rPr>
  </w:style>
  <w:style w:type="character" w:customStyle="1" w:styleId="aa">
    <w:name w:val="批注框文本 字符"/>
    <w:basedOn w:val="a0"/>
    <w:link w:val="a9"/>
    <w:uiPriority w:val="99"/>
    <w:semiHidden/>
    <w:qFormat/>
    <w:rPr>
      <w:rFonts w:ascii="Segoe UI" w:eastAsia="Times New Roman" w:hAnsi="Segoe UI" w:cs="Segoe UI"/>
      <w:sz w:val="18"/>
      <w:szCs w:val="18"/>
      <w:lang w:val="en-GB" w:eastAsia="zh-CN"/>
    </w:rPr>
  </w:style>
  <w:style w:type="character" w:customStyle="1" w:styleId="af2">
    <w:name w:val="批注主题 字符"/>
    <w:basedOn w:val="a8"/>
    <w:link w:val="af1"/>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8">
    <w:name w:val="列出段落 字符"/>
    <w:link w:val="af7"/>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5">
    <w:name w:val="题注 字符"/>
    <w:basedOn w:val="a0"/>
    <w:link w:val="a3"/>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rPr>
  </w:style>
  <w:style w:type="paragraph" w:customStyle="1" w:styleId="Reference">
    <w:name w:val="Reference"/>
    <w:basedOn w:val="a4"/>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Pr>
      <w:rFonts w:ascii="Arial" w:eastAsia="宋体" w:hAnsi="Arial" w:cs="Times New Roman"/>
      <w:b/>
      <w:sz w:val="20"/>
      <w:szCs w:val="20"/>
      <w:lang w:val="en-GB"/>
    </w:rPr>
  </w:style>
  <w:style w:type="paragraph" w:customStyle="1" w:styleId="Proposal">
    <w:name w:val="Proposal"/>
    <w:basedOn w:val="a4"/>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12">
    <w:name w:val="未处理的提及1"/>
    <w:basedOn w:val="a0"/>
    <w:uiPriority w:val="99"/>
    <w:unhideWhenUsed/>
    <w:qFormat/>
    <w:rPr>
      <w:color w:val="605E5C"/>
      <w:shd w:val="clear" w:color="auto" w:fill="E1DFDD"/>
    </w:rPr>
  </w:style>
  <w:style w:type="character" w:customStyle="1" w:styleId="13">
    <w:name w:val="@他1"/>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14">
    <w:name w:val="正文1"/>
    <w:qFormat/>
    <w:pPr>
      <w:jc w:val="both"/>
    </w:pPr>
    <w:rPr>
      <w:rFonts w:ascii="Calibri" w:eastAsia="宋体" w:hAnsi="Calibri" w:cs="Calibri"/>
      <w:kern w:val="2"/>
      <w:sz w:val="21"/>
      <w:szCs w:val="21"/>
    </w:rPr>
  </w:style>
  <w:style w:type="character" w:customStyle="1" w:styleId="15">
    <w:name w:val="15"/>
    <w:rPr>
      <w:rFonts w:ascii="CG Times (WN)" w:hAnsi="CG Times (WN)" w:hint="default"/>
      <w:color w:val="0000FF"/>
      <w:u w:val="single"/>
    </w:rPr>
  </w:style>
  <w:style w:type="character" w:customStyle="1" w:styleId="af9">
    <w:name w:val="首标题"/>
    <w:qFormat/>
    <w:rPr>
      <w:rFonts w:ascii="Arial" w:eastAsia="宋体" w:hAnsi="Arial"/>
      <w:sz w:val="24"/>
      <w:lang w:val="en-US" w:eastAsia="zh-CN" w:bidi="ar-SA"/>
    </w:rPr>
  </w:style>
  <w:style w:type="paragraph" w:customStyle="1" w:styleId="21">
    <w:name w:val="修订2"/>
    <w:hidden/>
    <w:uiPriority w:val="99"/>
    <w:semiHidden/>
    <w:qFormat/>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5812D10C-AA9D-4FD7-8B7E-F0EBEC02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2743</Characters>
  <Application>Microsoft Office Word</Application>
  <DocSecurity>0</DocSecurity>
  <Lines>22</Lines>
  <Paragraphs>6</Paragraphs>
  <ScaleCrop>false</ScaleCrop>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CU</cp:lastModifiedBy>
  <cp:revision>3</cp:revision>
  <dcterms:created xsi:type="dcterms:W3CDTF">2023-02-17T06:30:00Z</dcterms:created>
  <dcterms:modified xsi:type="dcterms:W3CDTF">2023-02-17T06:31:00Z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2052-11.8.2.11716</vt:lpwstr>
  </property>
  <property fmtid="{D5CDD505-2E9C-101B-9397-08002B2CF9AE}" pid="20" name="ICV">
    <vt:lpwstr>617C1146B0B94528B38E5714BD673727</vt:lpwstr>
  </property>
  <property fmtid="{D5CDD505-2E9C-101B-9397-08002B2CF9AE}" pid="21" name="GrammarlyDocumentId">
    <vt:lpwstr>847a03883f9dba5ec6c649e7c57b3cc63ee84cded77194ea725dfedcd32d4d3d</vt:lpwstr>
  </property>
</Properties>
</file>